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DB3A6" w14:textId="1B232B35" w:rsidR="00D51959" w:rsidRDefault="00000000">
      <w:pPr>
        <w:jc w:val="both"/>
        <w:rPr>
          <w:rFonts w:ascii="Calibri Light" w:hAnsi="Calibri Light" w:cs="Calibri Light"/>
          <w:lang w:val="es-ES"/>
        </w:rPr>
      </w:pPr>
      <w:r>
        <w:rPr>
          <w:rFonts w:ascii="Calibri Light" w:hAnsi="Calibri Light" w:cs="Calibri Light"/>
          <w:lang w:val="es-ES"/>
        </w:rPr>
        <w:t>En continuidad al desarrollo operativo y contractual del P.A. FINDETER MININTERIOR BANCO DE PROYECTOS 4.0, se convocó el Comité Fiduciario Virtual No. 03, programado para desarrollarse entre el martes 27 de enero de 2026 a las 4:30 p.m. y el jueves 29 de enero de 2026 a las 9:00 p.m., con la participación de los miembros de FINDETER y del Ministerio del Interior que integran el quórum del comité y ejercen su voto a través de correo electrónico</w:t>
      </w:r>
    </w:p>
    <w:p w14:paraId="3841C4F7" w14:textId="77777777" w:rsidR="00D51959" w:rsidRDefault="00D51959">
      <w:pPr>
        <w:jc w:val="both"/>
        <w:rPr>
          <w:rFonts w:ascii="Calibri Light" w:hAnsi="Calibri Light" w:cs="Calibri Light"/>
          <w:lang w:val="es-ES"/>
        </w:rPr>
      </w:pPr>
    </w:p>
    <w:p w14:paraId="4E2E1384" w14:textId="77777777" w:rsidR="00D51959" w:rsidRDefault="00000000">
      <w:pPr>
        <w:jc w:val="both"/>
        <w:rPr>
          <w:rFonts w:ascii="Calibri Light" w:hAnsi="Calibri Light" w:cs="Calibri Light"/>
          <w:lang w:val="es-ES"/>
        </w:rPr>
      </w:pPr>
      <w:r>
        <w:rPr>
          <w:rFonts w:ascii="Calibri Light" w:hAnsi="Calibri Light" w:cs="Calibri Light"/>
          <w:lang w:val="es-ES"/>
        </w:rPr>
        <w:t>Durante la sesión se sometió a consideración de los integrantes del Comité la aprobación de varias contrataciones directas requeridas para fortalecer el componente técnico, regional, financiero, jurídico y comunicacional de los convenios solidarios derivados del Contrato Interadministrativo 1773 de 2025. En ese sentido, se presentaron propuestas orientadas a la vinculación de profesionales encargados de brindar apoyo regional a la supervisión, acompañamiento jurídico y financiero, así como apoyo técnico audiovisual para la comunicación gráfica, los avisos y las imágenes corporativas asociadas a la ejecución de los convenios solidarios.</w:t>
      </w:r>
    </w:p>
    <w:p w14:paraId="58AF9C59" w14:textId="77777777" w:rsidR="00D51959" w:rsidRDefault="00D51959">
      <w:pPr>
        <w:jc w:val="both"/>
        <w:rPr>
          <w:rFonts w:ascii="Calibri Light" w:hAnsi="Calibri Light" w:cs="Calibri Light"/>
          <w:lang w:val="es-ES"/>
        </w:rPr>
      </w:pPr>
    </w:p>
    <w:p w14:paraId="640DE3A9" w14:textId="77777777" w:rsidR="00D51959" w:rsidRDefault="00000000">
      <w:pPr>
        <w:jc w:val="both"/>
        <w:rPr>
          <w:rFonts w:ascii="Calibri Light" w:hAnsi="Calibri Light" w:cs="Calibri Light"/>
          <w:lang w:val="es-ES"/>
        </w:rPr>
      </w:pPr>
      <w:r>
        <w:rPr>
          <w:rFonts w:ascii="Calibri Light" w:hAnsi="Calibri Light" w:cs="Calibri Light"/>
          <w:lang w:val="es-ES"/>
        </w:rPr>
        <w:t>Entre las contrataciones presentadas se incluyeron perfiles destinados al apoyo regional a la supervisión en diferentes territorios, buscando reforzar el seguimiento operativo de los convenios solidarios, así como profesionales para el acompañamiento jurídico en la ejecución contractual y el fortalecimiento del componente financiero relacionado con el manejo y seguimiento de los recursos. De igual manera, se sometió a consideración la contratación de apoyo técnico audiovisual para apoyar los procesos de comunicación e identidad visual de las actividades desarrolladas en el marco del contrato interadministrativo.</w:t>
      </w:r>
    </w:p>
    <w:p w14:paraId="03E3C8BA" w14:textId="77777777" w:rsidR="00D51959" w:rsidRDefault="00D51959">
      <w:pPr>
        <w:jc w:val="both"/>
        <w:rPr>
          <w:rFonts w:ascii="Calibri Light" w:hAnsi="Calibri Light" w:cs="Calibri Light"/>
          <w:lang w:val="es-ES"/>
        </w:rPr>
      </w:pPr>
    </w:p>
    <w:p w14:paraId="5498447C" w14:textId="77777777" w:rsidR="00D51959" w:rsidRDefault="00000000">
      <w:pPr>
        <w:jc w:val="both"/>
        <w:rPr>
          <w:rFonts w:ascii="Calibri Light" w:hAnsi="Calibri Light" w:cs="Calibri Light"/>
          <w:lang w:val="es-ES"/>
        </w:rPr>
      </w:pPr>
      <w:r>
        <w:rPr>
          <w:rFonts w:ascii="Calibri Light" w:hAnsi="Calibri Light" w:cs="Calibri Light"/>
          <w:lang w:val="es-ES"/>
        </w:rPr>
        <w:t>En el desarrollo del comité, y particularmente desde el Viceministerio para el Diálogo Social y los Derechos Humanos del Ministerio del Interior, surgió una observación relacionada con el plazo de ejecución de algunos de los contratos de prestación de servicios sometidos a votación, teniendo en cuenta que su duración superaba la fecha prevista de terminación del Contrato Interadministrativo 1773 de 2025, cuya ejecución finaliza el 28 de julio de 2026.</w:t>
      </w:r>
    </w:p>
    <w:p w14:paraId="70883CBC" w14:textId="77777777" w:rsidR="00D51959" w:rsidRDefault="00D51959">
      <w:pPr>
        <w:jc w:val="both"/>
        <w:rPr>
          <w:rFonts w:ascii="Calibri Light" w:hAnsi="Calibri Light" w:cs="Calibri Light"/>
          <w:lang w:val="es-ES"/>
        </w:rPr>
      </w:pPr>
    </w:p>
    <w:p w14:paraId="358EE385" w14:textId="77777777" w:rsidR="00D51959" w:rsidRDefault="00000000">
      <w:pPr>
        <w:jc w:val="both"/>
        <w:rPr>
          <w:rFonts w:ascii="Calibri Light" w:hAnsi="Calibri Light" w:cs="Calibri Light"/>
          <w:lang w:val="es-ES"/>
        </w:rPr>
      </w:pPr>
      <w:r>
        <w:rPr>
          <w:rFonts w:ascii="Calibri Light" w:hAnsi="Calibri Light" w:cs="Calibri Light"/>
          <w:lang w:val="es-ES"/>
        </w:rPr>
        <w:t>Frente a esta inquietud, FINDETER emitió respuesta formal precisando que dicha situación obedecía a la planeación contractual realizada para garantizar la continuidad de la asistencia técnica no solo durante la etapa de ejecución de los convenios solidarios, sino también durante las etapas posteriores de cierre y liquidación contractual. En ese sentido, se explicó que la liquidación del contrato interadministrativo y de los convenios derivados contempla un plazo adicional de ocho (8) meses posteriores a la terminación de la ejecución principal, lo cual hacía necesario contar con personal de apoyo durante ese periodo.</w:t>
      </w:r>
    </w:p>
    <w:p w14:paraId="45BB3C75" w14:textId="77777777" w:rsidR="00D51959" w:rsidRDefault="00D51959">
      <w:pPr>
        <w:jc w:val="both"/>
        <w:rPr>
          <w:rFonts w:ascii="Calibri Light" w:hAnsi="Calibri Light" w:cs="Calibri Light"/>
          <w:lang w:val="es-ES"/>
        </w:rPr>
      </w:pPr>
    </w:p>
    <w:p w14:paraId="3B0B37DC" w14:textId="77777777" w:rsidR="00D51959" w:rsidRDefault="00000000">
      <w:pPr>
        <w:jc w:val="both"/>
        <w:rPr>
          <w:rFonts w:ascii="Calibri Light" w:hAnsi="Calibri Light" w:cs="Calibri Light"/>
          <w:lang w:val="es-ES"/>
        </w:rPr>
      </w:pPr>
      <w:r>
        <w:rPr>
          <w:rFonts w:ascii="Calibri Light" w:hAnsi="Calibri Light" w:cs="Calibri Light"/>
          <w:lang w:val="es-ES"/>
        </w:rPr>
        <w:t>Asimismo, FINDETER aclaró que los contratos de prestación de servicios corresponden a relaciones contractuales autónomas e independientes del contrato interadministrativo matriz, razón por la cual su eventual terminación o la no prórroga del contrato principal no implica automáticamente la finalización de los contratos derivados, los cuales cuentan con condiciones, obligaciones y plazos propios. No obstante, también se indicó que, en caso de no presentarse prórroga del contrato interadministrativo, FINDETER adoptaría oportunamente las medidas contractuales correspondientes frente a la contratación derivada y realizaría el reintegro de los recursos no ejecutados al patrimonio autónomo.</w:t>
      </w:r>
    </w:p>
    <w:p w14:paraId="386AC738" w14:textId="77777777" w:rsidR="00D51959" w:rsidRDefault="00000000">
      <w:pPr>
        <w:jc w:val="both"/>
        <w:rPr>
          <w:rFonts w:ascii="Calibri Light" w:hAnsi="Calibri Light" w:cs="Calibri Light"/>
          <w:lang w:val="es-ES"/>
        </w:rPr>
      </w:pPr>
      <w:r>
        <w:rPr>
          <w:rFonts w:ascii="Calibri Light" w:hAnsi="Calibri Light" w:cs="Calibri Light"/>
          <w:lang w:val="es-ES"/>
        </w:rPr>
        <w:t>De igual forma, FINDETER reiteró que los recursos destinados a la contratación del personal de apoyo hacen parte de la remuneración de asistencia técnica prevista dentro del Contrato Interadministrativo 1773 de 2025, razón por la cual dichas contrataciones se encontraban alineadas con la planeación financiera y operativa del proyecto.</w:t>
      </w:r>
    </w:p>
    <w:p w14:paraId="73697014" w14:textId="77777777" w:rsidR="00D51959" w:rsidRDefault="00D51959">
      <w:pPr>
        <w:jc w:val="both"/>
        <w:rPr>
          <w:rFonts w:ascii="Calibri Light" w:hAnsi="Calibri Light" w:cs="Calibri Light"/>
          <w:lang w:val="es-ES"/>
        </w:rPr>
      </w:pPr>
    </w:p>
    <w:p w14:paraId="2EFDAD12" w14:textId="77777777" w:rsidR="00D51959" w:rsidRDefault="00000000">
      <w:pPr>
        <w:jc w:val="both"/>
        <w:rPr>
          <w:rFonts w:ascii="Calibri Light" w:hAnsi="Calibri Light" w:cs="Calibri Light"/>
          <w:lang w:val="es-ES"/>
        </w:rPr>
      </w:pPr>
      <w:r>
        <w:rPr>
          <w:rFonts w:ascii="Calibri Light" w:hAnsi="Calibri Light" w:cs="Calibri Light"/>
          <w:lang w:val="es-ES"/>
        </w:rPr>
        <w:t>Posteriormente, y teniendo en cuenta las aclaraciones remitidas por FINDETER, desde el Ministerio del Interior se manifestó la aprobación de las contrataciones directas sometidas a consideración, dejando constancia expresa de que dicha aprobación aplicaba para los contratos que no superaran la fecha de finalización del contrato matriz No. 1773 de 2025.</w:t>
      </w:r>
    </w:p>
    <w:p w14:paraId="54E5647A" w14:textId="77777777" w:rsidR="00D51959" w:rsidRDefault="00D51959">
      <w:pPr>
        <w:jc w:val="both"/>
        <w:rPr>
          <w:rFonts w:ascii="Calibri Light" w:hAnsi="Calibri Light" w:cs="Calibri Light"/>
          <w:lang w:val="es-ES"/>
        </w:rPr>
      </w:pPr>
    </w:p>
    <w:p w14:paraId="7F4C8D75" w14:textId="77777777" w:rsidR="00D51959" w:rsidRDefault="00000000">
      <w:pPr>
        <w:jc w:val="both"/>
        <w:rPr>
          <w:rFonts w:ascii="Calibri Light" w:hAnsi="Calibri Light" w:cs="Calibri Light"/>
          <w:lang w:val="es-ES"/>
        </w:rPr>
      </w:pPr>
      <w:r>
        <w:rPr>
          <w:rFonts w:ascii="Calibri Light" w:hAnsi="Calibri Light" w:cs="Calibri Light"/>
          <w:lang w:val="es-ES"/>
        </w:rPr>
        <w:lastRenderedPageBreak/>
        <w:t>En consecuencia, una vez revisadas las observaciones formuladas, atendidas las inquietudes planteadas y verificado el alcance de las contrataciones propuestas, los miembros del Comité Fiduciario emitieron su voto favorable frente a las solicitudes presentadas durante la sesión virtual para la contratación directa de 7 Profesionales de apoyo al CI 1773 del 2025, dejando constancia de las precisiones realizadas respecto a la vigencia contractual y la planeación operativa expuesta por FINDETER.</w:t>
      </w:r>
    </w:p>
    <w:p w14:paraId="36DBCC59" w14:textId="77777777" w:rsidR="00D51959" w:rsidRDefault="00D51959">
      <w:pPr>
        <w:rPr>
          <w:lang w:val="es-ES"/>
        </w:rPr>
      </w:pPr>
    </w:p>
    <w:sectPr w:rsidR="00D51959">
      <w:headerReference w:type="default" r:id="rId6"/>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3D50A" w14:textId="77777777" w:rsidR="000D6C17" w:rsidRDefault="000D6C17">
      <w:r>
        <w:separator/>
      </w:r>
    </w:p>
  </w:endnote>
  <w:endnote w:type="continuationSeparator" w:id="0">
    <w:p w14:paraId="2B5EEC5E" w14:textId="77777777" w:rsidR="000D6C17" w:rsidRDefault="000D6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F4920" w14:textId="77777777" w:rsidR="000D6C17" w:rsidRDefault="000D6C17">
      <w:r>
        <w:separator/>
      </w:r>
    </w:p>
  </w:footnote>
  <w:footnote w:type="continuationSeparator" w:id="0">
    <w:p w14:paraId="0B3B699C" w14:textId="77777777" w:rsidR="000D6C17" w:rsidRDefault="000D6C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horzAnchor="page" w:tblpX="1147" w:tblpY="-2"/>
      <w:tblOverlap w:val="never"/>
      <w:tblW w:w="10050"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938"/>
      <w:gridCol w:w="8112"/>
    </w:tblGrid>
    <w:tr w:rsidR="00D51959" w14:paraId="251C1805" w14:textId="77777777">
      <w:trPr>
        <w:trHeight w:val="690"/>
      </w:trPr>
      <w:tc>
        <w:tcPr>
          <w:tcW w:w="1938" w:type="dxa"/>
          <w:tcBorders>
            <w:top w:val="dotted" w:sz="12" w:space="0" w:color="auto"/>
            <w:left w:val="dotted" w:sz="12" w:space="0" w:color="auto"/>
            <w:bottom w:val="dotted" w:sz="12" w:space="0" w:color="auto"/>
            <w:right w:val="dotted" w:sz="12" w:space="0" w:color="auto"/>
          </w:tcBorders>
          <w:shd w:val="clear" w:color="auto" w:fill="FFFFFF"/>
          <w:vAlign w:val="center"/>
        </w:tcPr>
        <w:p w14:paraId="63806DA3" w14:textId="77777777" w:rsidR="00D51959" w:rsidRDefault="00000000">
          <w:pPr>
            <w:jc w:val="center"/>
            <w:rPr>
              <w:b/>
              <w:color w:val="000000"/>
            </w:rPr>
          </w:pPr>
          <w:r>
            <w:rPr>
              <w:noProof/>
            </w:rPr>
            <w:drawing>
              <wp:anchor distT="0" distB="0" distL="114300" distR="114300" simplePos="0" relativeHeight="251659264" behindDoc="0" locked="0" layoutInCell="1" allowOverlap="1" wp14:anchorId="1D1EE5EC" wp14:editId="45675611">
                <wp:simplePos x="0" y="0"/>
                <wp:positionH relativeFrom="column">
                  <wp:posOffset>104775</wp:posOffset>
                </wp:positionH>
                <wp:positionV relativeFrom="paragraph">
                  <wp:posOffset>-46355</wp:posOffset>
                </wp:positionV>
                <wp:extent cx="918845" cy="763270"/>
                <wp:effectExtent l="0" t="0" r="14605" b="17780"/>
                <wp:wrapNone/>
                <wp:docPr id="171203311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033116" name="drawing"/>
                        <pic:cNvPicPr>
                          <a:picLocks noChangeAspect="1"/>
                        </pic:cNvPicPr>
                      </pic:nvPicPr>
                      <pic:blipFill>
                        <a:blip r:embed="rId1"/>
                        <a:stretch>
                          <a:fillRect/>
                        </a:stretch>
                      </pic:blipFill>
                      <pic:spPr>
                        <a:xfrm>
                          <a:off x="0" y="0"/>
                          <a:ext cx="918845" cy="763270"/>
                        </a:xfrm>
                        <a:prstGeom prst="rect">
                          <a:avLst/>
                        </a:prstGeom>
                      </pic:spPr>
                    </pic:pic>
                  </a:graphicData>
                </a:graphic>
              </wp:anchor>
            </w:drawing>
          </w:r>
        </w:p>
        <w:p w14:paraId="50FAEA65" w14:textId="77777777" w:rsidR="00D51959" w:rsidRDefault="00D51959">
          <w:pPr>
            <w:jc w:val="center"/>
            <w:rPr>
              <w:rFonts w:ascii="Arial" w:eastAsia="Arial" w:hAnsi="Arial" w:cs="Arial"/>
              <w:b/>
              <w:color w:val="000000"/>
              <w:sz w:val="18"/>
              <w:szCs w:val="18"/>
            </w:rPr>
          </w:pPr>
        </w:p>
      </w:tc>
      <w:tc>
        <w:tcPr>
          <w:tcW w:w="8112" w:type="dxa"/>
          <w:tcBorders>
            <w:top w:val="dotted" w:sz="12" w:space="0" w:color="auto"/>
            <w:left w:val="dotted" w:sz="12" w:space="0" w:color="auto"/>
            <w:bottom w:val="dotted" w:sz="12" w:space="0" w:color="auto"/>
            <w:right w:val="dotted" w:sz="12" w:space="0" w:color="auto"/>
          </w:tcBorders>
          <w:shd w:val="clear" w:color="auto" w:fill="FFFFFF"/>
          <w:vAlign w:val="center"/>
        </w:tcPr>
        <w:p w14:paraId="44FEF8E9" w14:textId="77777777" w:rsidR="00D51959" w:rsidRDefault="00000000">
          <w:pPr>
            <w:jc w:val="center"/>
            <w:rPr>
              <w:rFonts w:ascii="Arial" w:eastAsia="Arial" w:hAnsi="Arial" w:cs="Arial"/>
              <w:b/>
              <w:color w:val="000000"/>
              <w:sz w:val="16"/>
              <w:szCs w:val="16"/>
              <w:lang w:val="es-ES"/>
            </w:rPr>
          </w:pPr>
          <w:bookmarkStart w:id="0" w:name="_heading=h.1x0gk37" w:colFirst="0" w:colLast="0"/>
          <w:bookmarkEnd w:id="0"/>
          <w:r>
            <w:rPr>
              <w:rFonts w:ascii="Arial" w:eastAsia="Arial" w:hAnsi="Arial" w:cs="Arial"/>
              <w:b/>
              <w:color w:val="000000"/>
              <w:sz w:val="16"/>
              <w:szCs w:val="16"/>
              <w:lang w:val="es-ES"/>
            </w:rPr>
            <w:t xml:space="preserve">RESUMEN </w:t>
          </w:r>
          <w:r w:rsidRPr="00021E33">
            <w:rPr>
              <w:rFonts w:ascii="Arial" w:eastAsia="Arial" w:hAnsi="Arial" w:cs="Arial"/>
              <w:b/>
              <w:color w:val="000000"/>
              <w:sz w:val="16"/>
              <w:szCs w:val="16"/>
              <w:lang w:val="es-CO"/>
            </w:rPr>
            <w:t xml:space="preserve">COMITÉ FIDUCIARIO VIRTUAL No. </w:t>
          </w:r>
          <w:r>
            <w:rPr>
              <w:rFonts w:ascii="Arial" w:eastAsia="Arial" w:hAnsi="Arial" w:cs="Arial"/>
              <w:b/>
              <w:color w:val="000000"/>
              <w:sz w:val="16"/>
              <w:szCs w:val="16"/>
              <w:lang w:val="es-ES"/>
            </w:rPr>
            <w:t>3</w:t>
          </w:r>
        </w:p>
        <w:p w14:paraId="049FE2C8" w14:textId="77777777" w:rsidR="00D51959" w:rsidRPr="00021E33" w:rsidRDefault="00000000">
          <w:pPr>
            <w:jc w:val="center"/>
            <w:rPr>
              <w:rFonts w:ascii="Arial" w:eastAsia="Arial" w:hAnsi="Arial" w:cs="Arial"/>
              <w:b/>
              <w:color w:val="000000"/>
              <w:sz w:val="16"/>
              <w:szCs w:val="16"/>
              <w:lang w:val="es-CO"/>
            </w:rPr>
          </w:pPr>
          <w:r w:rsidRPr="00021E33">
            <w:rPr>
              <w:rFonts w:ascii="Arial" w:eastAsia="Arial" w:hAnsi="Arial" w:cs="Arial"/>
              <w:b/>
              <w:color w:val="000000"/>
              <w:sz w:val="16"/>
              <w:szCs w:val="16"/>
              <w:lang w:val="es-CO"/>
            </w:rPr>
            <w:t>PATRIMONIO AUTÓNOMO FINDETER MININTERIOR BANCO DE PROYECTOS 4.0. CONTRATO DE FIDUCIA MERCANTIL - 3-1-127578 DE 2025</w:t>
          </w:r>
        </w:p>
        <w:p w14:paraId="04CBC7DC" w14:textId="77777777" w:rsidR="00D51959" w:rsidRPr="00021E33" w:rsidRDefault="00000000">
          <w:pPr>
            <w:jc w:val="center"/>
            <w:rPr>
              <w:rFonts w:ascii="Arial" w:eastAsia="Arial" w:hAnsi="Arial" w:cs="Arial"/>
              <w:b/>
              <w:color w:val="000000"/>
              <w:sz w:val="16"/>
              <w:szCs w:val="16"/>
              <w:lang w:val="es-CO"/>
            </w:rPr>
          </w:pPr>
          <w:r w:rsidRPr="00021E33">
            <w:rPr>
              <w:rFonts w:ascii="Arial" w:eastAsia="Arial" w:hAnsi="Arial" w:cs="Arial"/>
              <w:b/>
              <w:color w:val="000000"/>
              <w:sz w:val="16"/>
              <w:szCs w:val="16"/>
              <w:lang w:val="es-CO"/>
            </w:rPr>
            <w:t xml:space="preserve">CONTRATO INTERADMINISTRATIVO NO. 1773 DE 2025  </w:t>
          </w:r>
        </w:p>
        <w:p w14:paraId="18BEF50D" w14:textId="77777777" w:rsidR="00D51959" w:rsidRPr="00021E33" w:rsidRDefault="00000000">
          <w:pPr>
            <w:tabs>
              <w:tab w:val="center" w:pos="4252"/>
              <w:tab w:val="right" w:pos="8504"/>
            </w:tabs>
            <w:spacing w:line="360" w:lineRule="auto"/>
            <w:jc w:val="right"/>
            <w:rPr>
              <w:rFonts w:ascii="Arial" w:eastAsia="Arial" w:hAnsi="Arial" w:cs="Arial"/>
              <w:b/>
              <w:color w:val="000000"/>
              <w:sz w:val="14"/>
              <w:szCs w:val="14"/>
              <w:lang w:val="es-CO"/>
            </w:rPr>
          </w:pPr>
          <w:r w:rsidRPr="00021E33">
            <w:rPr>
              <w:rFonts w:ascii="Arial" w:eastAsia="Arial" w:hAnsi="Arial" w:cs="Arial"/>
              <w:b/>
              <w:color w:val="000000"/>
              <w:sz w:val="14"/>
              <w:szCs w:val="14"/>
              <w:lang w:val="es-CO"/>
            </w:rPr>
            <w:t xml:space="preserve">FECHA: </w:t>
          </w:r>
          <w:r>
            <w:rPr>
              <w:rFonts w:ascii="Arial" w:eastAsia="Arial" w:hAnsi="Arial" w:cs="Arial"/>
              <w:b/>
              <w:color w:val="000000"/>
              <w:sz w:val="14"/>
              <w:szCs w:val="14"/>
              <w:lang w:val="es-ES"/>
            </w:rPr>
            <w:t xml:space="preserve">27 ENE </w:t>
          </w:r>
          <w:r w:rsidRPr="00021E33">
            <w:rPr>
              <w:rFonts w:ascii="Arial" w:eastAsia="Arial" w:hAnsi="Arial" w:cs="Arial"/>
              <w:b/>
              <w:color w:val="000000"/>
              <w:sz w:val="14"/>
              <w:szCs w:val="14"/>
              <w:lang w:val="es-CO"/>
            </w:rPr>
            <w:t>202</w:t>
          </w:r>
          <w:r>
            <w:rPr>
              <w:rFonts w:ascii="Arial" w:eastAsia="Arial" w:hAnsi="Arial" w:cs="Arial"/>
              <w:b/>
              <w:color w:val="000000"/>
              <w:sz w:val="14"/>
              <w:szCs w:val="14"/>
              <w:lang w:val="es-ES"/>
            </w:rPr>
            <w:t>6 - 29 ENE 2026</w:t>
          </w:r>
          <w:r w:rsidRPr="00021E33">
            <w:rPr>
              <w:rFonts w:ascii="Arial" w:eastAsia="Arial" w:hAnsi="Arial" w:cs="Arial"/>
              <w:b/>
              <w:color w:val="000000"/>
              <w:sz w:val="14"/>
              <w:szCs w:val="14"/>
              <w:lang w:val="es-CO"/>
            </w:rPr>
            <w:t xml:space="preserve">  </w:t>
          </w:r>
        </w:p>
        <w:p w14:paraId="70CBBB0D" w14:textId="77777777" w:rsidR="00D51959" w:rsidRDefault="00000000">
          <w:pPr>
            <w:tabs>
              <w:tab w:val="center" w:pos="4252"/>
              <w:tab w:val="right" w:pos="8504"/>
            </w:tabs>
            <w:spacing w:line="360" w:lineRule="auto"/>
            <w:jc w:val="right"/>
            <w:rPr>
              <w:rFonts w:ascii="Arial" w:eastAsia="Arial" w:hAnsi="Arial" w:cs="Arial"/>
              <w:b/>
              <w:color w:val="000000"/>
              <w:sz w:val="14"/>
              <w:szCs w:val="14"/>
            </w:rPr>
          </w:pPr>
          <w:r>
            <w:rPr>
              <w:rFonts w:ascii="Arial" w:eastAsia="Arial" w:hAnsi="Arial" w:cs="Arial"/>
              <w:b/>
              <w:color w:val="000000"/>
              <w:sz w:val="14"/>
              <w:szCs w:val="14"/>
            </w:rPr>
            <w:t xml:space="preserve">VERSIÓN: 1 </w:t>
          </w:r>
        </w:p>
        <w:p w14:paraId="52D3DEED" w14:textId="77777777" w:rsidR="00D51959" w:rsidRDefault="00000000">
          <w:pPr>
            <w:tabs>
              <w:tab w:val="center" w:pos="4252"/>
              <w:tab w:val="right" w:pos="8504"/>
            </w:tabs>
            <w:spacing w:line="360" w:lineRule="auto"/>
            <w:jc w:val="right"/>
            <w:rPr>
              <w:rFonts w:ascii="Arial" w:eastAsia="Arial" w:hAnsi="Arial" w:cs="Arial"/>
              <w:color w:val="000000"/>
              <w:sz w:val="18"/>
              <w:szCs w:val="18"/>
            </w:rPr>
          </w:pPr>
          <w:r>
            <w:rPr>
              <w:rFonts w:ascii="Arial" w:eastAsia="Arial" w:hAnsi="Arial" w:cs="Arial"/>
              <w:b/>
              <w:color w:val="000000"/>
              <w:sz w:val="14"/>
              <w:szCs w:val="14"/>
            </w:rPr>
            <w:t xml:space="preserve">PÁGINA: </w:t>
          </w:r>
          <w:r>
            <w:rPr>
              <w:rFonts w:ascii="Arial" w:eastAsia="Arial" w:hAnsi="Arial" w:cs="Arial"/>
              <w:b/>
              <w:color w:val="000000"/>
              <w:sz w:val="14"/>
              <w:szCs w:val="14"/>
            </w:rPr>
            <w:fldChar w:fldCharType="begin"/>
          </w:r>
          <w:r>
            <w:rPr>
              <w:rFonts w:ascii="Arial" w:eastAsia="Arial" w:hAnsi="Arial" w:cs="Arial"/>
              <w:b/>
              <w:color w:val="000000"/>
              <w:sz w:val="14"/>
              <w:szCs w:val="14"/>
            </w:rPr>
            <w:instrText>PAGE</w:instrText>
          </w:r>
          <w:r>
            <w:rPr>
              <w:rFonts w:ascii="Arial" w:eastAsia="Arial" w:hAnsi="Arial" w:cs="Arial"/>
              <w:b/>
              <w:color w:val="000000"/>
              <w:sz w:val="14"/>
              <w:szCs w:val="14"/>
            </w:rPr>
            <w:fldChar w:fldCharType="separate"/>
          </w:r>
          <w:r>
            <w:rPr>
              <w:rFonts w:ascii="Arial" w:eastAsia="Arial" w:hAnsi="Arial" w:cs="Arial"/>
              <w:b/>
              <w:color w:val="000000"/>
              <w:sz w:val="14"/>
              <w:szCs w:val="14"/>
            </w:rPr>
            <w:t>8</w:t>
          </w:r>
          <w:r>
            <w:rPr>
              <w:rFonts w:ascii="Arial" w:eastAsia="Arial" w:hAnsi="Arial" w:cs="Arial"/>
              <w:b/>
              <w:color w:val="000000"/>
              <w:sz w:val="14"/>
              <w:szCs w:val="14"/>
            </w:rPr>
            <w:fldChar w:fldCharType="end"/>
          </w:r>
          <w:r>
            <w:rPr>
              <w:rFonts w:ascii="Arial" w:eastAsia="Arial" w:hAnsi="Arial" w:cs="Arial"/>
              <w:b/>
              <w:color w:val="000000"/>
              <w:sz w:val="14"/>
              <w:szCs w:val="14"/>
            </w:rPr>
            <w:t xml:space="preserve"> de </w:t>
          </w:r>
          <w:r>
            <w:rPr>
              <w:rFonts w:ascii="Arial" w:eastAsia="Arial" w:hAnsi="Arial" w:cs="Arial"/>
              <w:b/>
              <w:color w:val="000000"/>
              <w:sz w:val="14"/>
              <w:szCs w:val="14"/>
            </w:rPr>
            <w:fldChar w:fldCharType="begin"/>
          </w:r>
          <w:r>
            <w:rPr>
              <w:rFonts w:ascii="Arial" w:eastAsia="Arial" w:hAnsi="Arial" w:cs="Arial"/>
              <w:b/>
              <w:color w:val="000000"/>
              <w:sz w:val="14"/>
              <w:szCs w:val="14"/>
            </w:rPr>
            <w:instrText>NUMPAGES</w:instrText>
          </w:r>
          <w:r>
            <w:rPr>
              <w:rFonts w:ascii="Arial" w:eastAsia="Arial" w:hAnsi="Arial" w:cs="Arial"/>
              <w:b/>
              <w:color w:val="000000"/>
              <w:sz w:val="14"/>
              <w:szCs w:val="14"/>
            </w:rPr>
            <w:fldChar w:fldCharType="separate"/>
          </w:r>
          <w:r>
            <w:rPr>
              <w:rFonts w:ascii="Arial" w:eastAsia="Arial" w:hAnsi="Arial" w:cs="Arial"/>
              <w:b/>
              <w:color w:val="000000"/>
              <w:sz w:val="14"/>
              <w:szCs w:val="14"/>
            </w:rPr>
            <w:t>40</w:t>
          </w:r>
          <w:r>
            <w:rPr>
              <w:rFonts w:ascii="Arial" w:eastAsia="Arial" w:hAnsi="Arial" w:cs="Arial"/>
              <w:b/>
              <w:color w:val="000000"/>
              <w:sz w:val="14"/>
              <w:szCs w:val="14"/>
            </w:rPr>
            <w:fldChar w:fldCharType="end"/>
          </w:r>
        </w:p>
      </w:tc>
    </w:tr>
  </w:tbl>
  <w:p w14:paraId="41D23D33" w14:textId="77777777" w:rsidR="00D51959" w:rsidRDefault="00D51959">
    <w:pPr>
      <w:pStyle w:val="Encabezado"/>
    </w:pPr>
  </w:p>
  <w:p w14:paraId="3982AF03" w14:textId="77777777" w:rsidR="00D51959" w:rsidRDefault="00D51959">
    <w:pPr>
      <w:pStyle w:val="Encabezado"/>
    </w:pPr>
  </w:p>
  <w:p w14:paraId="6580C5A1" w14:textId="77777777" w:rsidR="00D51959" w:rsidRDefault="00D51959">
    <w:pPr>
      <w:pStyle w:val="Encabezado"/>
    </w:pPr>
  </w:p>
  <w:p w14:paraId="182A8C87" w14:textId="77777777" w:rsidR="00D51959" w:rsidRDefault="00D51959">
    <w:pPr>
      <w:pStyle w:val="Encabezado"/>
    </w:pPr>
  </w:p>
  <w:p w14:paraId="335DE51F" w14:textId="77777777" w:rsidR="00D51959" w:rsidRDefault="00D51959">
    <w:pPr>
      <w:pStyle w:val="Encabezado"/>
    </w:pPr>
  </w:p>
  <w:p w14:paraId="342B9414" w14:textId="77777777" w:rsidR="00D51959" w:rsidRDefault="00D51959">
    <w:pPr>
      <w:pStyle w:val="Encabezado"/>
    </w:pPr>
  </w:p>
  <w:p w14:paraId="06DC977D" w14:textId="77777777" w:rsidR="00D51959" w:rsidRDefault="00D51959">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defaultTabStop w:val="708"/>
  <w:hyphenationZone w:val="425"/>
  <w:drawingGridVerticalSpacing w:val="156"/>
  <w:noPunctuationKerning/>
  <w:characterSpacingControl w:val="doNotCompress"/>
  <w:footnotePr>
    <w:footnote w:id="-1"/>
    <w:footnote w:id="0"/>
  </w:footnotePr>
  <w:endnotePr>
    <w:endnote w:id="-1"/>
    <w:endnote w:id="0"/>
  </w:endnotePr>
  <w:compat>
    <w:spaceForUL/>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12B1515"/>
    <w:rsid w:val="00021E33"/>
    <w:rsid w:val="000D6C17"/>
    <w:rsid w:val="00D51959"/>
    <w:rsid w:val="01064F05"/>
    <w:rsid w:val="017137B2"/>
    <w:rsid w:val="234643ED"/>
    <w:rsid w:val="26847937"/>
    <w:rsid w:val="2AAA3386"/>
    <w:rsid w:val="2F93020C"/>
    <w:rsid w:val="36894F05"/>
    <w:rsid w:val="412B1515"/>
    <w:rsid w:val="5D58493A"/>
    <w:rsid w:val="62EA5256"/>
    <w:rsid w:val="77B3663B"/>
    <w:rsid w:val="7DB135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F7044D"/>
  <w15:docId w15:val="{F6044FEF-C3F9-4A4E-BA22-A0A3457A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heme="minorHAnsi" w:eastAsiaTheme="minorEastAsia" w:hAnsiTheme="minorHAnsi" w:cstheme="minorBidi"/>
      <w:lang w:val="en-U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qFormat/>
    <w:pPr>
      <w:tabs>
        <w:tab w:val="center" w:pos="4153"/>
        <w:tab w:val="right" w:pos="8306"/>
      </w:tabs>
    </w:pPr>
  </w:style>
  <w:style w:type="paragraph" w:styleId="NormalWeb">
    <w:name w:val="Normal (Web)"/>
    <w:qFormat/>
    <w:pPr>
      <w:spacing w:beforeAutospacing="1" w:afterAutospacing="1"/>
    </w:pPr>
    <w:rPr>
      <w:sz w:val="24"/>
      <w:szCs w:val="24"/>
      <w:lang w:val="en-US" w:eastAsia="zh-CN"/>
    </w:rPr>
  </w:style>
  <w:style w:type="paragraph" w:styleId="Piedepgina">
    <w:name w:val="footer"/>
    <w:basedOn w:val="Normal"/>
    <w:qFormat/>
    <w:pPr>
      <w:tabs>
        <w:tab w:val="center" w:pos="4153"/>
        <w:tab w:val="right" w:pos="8306"/>
      </w:tabs>
    </w:pPr>
  </w:style>
  <w:style w:type="paragraph" w:customStyle="1" w:styleId="Style6">
    <w:name w:val="_Style 6"/>
    <w:basedOn w:val="Normal"/>
    <w:next w:val="Normal"/>
    <w:qFormat/>
    <w:pPr>
      <w:pBdr>
        <w:bottom w:val="single" w:sz="6" w:space="1" w:color="auto"/>
      </w:pBdr>
      <w:jc w:val="center"/>
    </w:pPr>
    <w:rPr>
      <w:rFonts w:ascii="Arial" w:eastAsia="SimSun"/>
      <w:vanish/>
      <w:sz w:val="16"/>
    </w:rPr>
  </w:style>
  <w:style w:type="paragraph" w:customStyle="1" w:styleId="Style7">
    <w:name w:val="_Style 7"/>
    <w:basedOn w:val="Normal"/>
    <w:next w:val="Normal"/>
    <w:qFormat/>
    <w:pPr>
      <w:pBdr>
        <w:top w:val="single" w:sz="6" w:space="1" w:color="auto"/>
      </w:pBdr>
      <w:jc w:val="center"/>
    </w:pPr>
    <w:rPr>
      <w:rFonts w:ascii="Arial" w:eastAsia="SimSun"/>
      <w:vanish/>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Pages>
  <Words>720</Words>
  <Characters>3964</Characters>
  <Application>Microsoft Office Word</Application>
  <DocSecurity>0</DocSecurity>
  <Lines>33</Lines>
  <Paragraphs>9</Paragraphs>
  <ScaleCrop>false</ScaleCrop>
  <Company/>
  <LinksUpToDate>false</LinksUpToDate>
  <CharactersWithSpaces>4675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carolina</dc:creator>
  <cp:lastModifiedBy>Fernando Diaz A</cp:lastModifiedBy>
  <cp:revision>3</cp:revision>
  <dcterms:created xsi:type="dcterms:W3CDTF">2026-05-07T23:59:00Z</dcterms:created>
  <dcterms:modified xsi:type="dcterms:W3CDTF">2026-06-22T18:55:00Z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3082-12.2.0.23202</vt:lpwstr>
  </property>
  <property fmtid="{D5CDD505-2E9C-101B-9397-08002B2CF9AE}" pid="3" name="ICV">
    <vt:lpwstr>9C31043CBDB8403CA93E13ACF3B9E059_13</vt:lpwstr>
  </property>
</Properties>
</file>